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26-307</w:t>
      </w:r>
    </w:p>
    <w:p>
      <w:pPr>
        <w:spacing w:before="0" w:after="0" w:line="480"/>
        <w:ind w:left="120"/>
        <w:jc w:val="left"/>
      </w:pPr>
    </w:p>
    <w:p>
      <w:pPr>
        <w:spacing w:before="0" w:after="0" w:line="480"/>
        <w:ind w:left="120"/>
        <w:jc w:val="center"/>
      </w:pPr>
      <w:r>
        <w:rPr>
          <w:rFonts w:ascii="Times New Roman" w:hAnsi="Times New Roman"/>
          <w:b/>
          <w:i w:val="false"/>
          <w:color w:val="000000"/>
          <w:sz w:val="28"/>
        </w:rPr>
        <w:t xml:space="preserve"> COLLEGE STUDENT AID COMMISSION[283]</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283—Chapter 13</w:t>
      </w:r>
    </w:p>
    <w:p>
      <w:pPr>
        <w:spacing w:before="0" w:after="0" w:line="480"/>
        <w:ind w:left="120"/>
        <w:jc w:val="center"/>
      </w:pPr>
      <w:r>
        <w:rPr>
          <w:rFonts w:ascii="Times New Roman" w:hAnsi="Times New Roman"/>
          <w:b w:val="false"/>
          <w:i w:val="false"/>
          <w:color w:val="000000"/>
          <w:sz w:val="24"/>
        </w:rPr>
        <w:t>“Iowa Vocational-Technical Tuition Grant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256.178 and 256.192</w:t>
      </w:r>
    </w:p>
    <w:p>
      <w:pPr>
        <w:spacing w:before="0" w:after="0" w:line="480"/>
        <w:ind w:left="120"/>
        <w:jc w:val="both"/>
      </w:pPr>
      <w:r>
        <w:rPr>
          <w:rFonts w:ascii="Times New Roman" w:hAnsi="Times New Roman"/>
          <w:b w:val="false"/>
          <w:i w:val="false"/>
          <w:color w:val="000000"/>
          <w:sz w:val="24"/>
        </w:rPr>
        <w:t>State or federal law(s) implemented by the rulemaking: Iowa Code section 256.192</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3:30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College Student Aid Commission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Katrina Holck</w:t>
            </w:r>
            <w:r>
              <w:br/>
            </w:r>
            <w:r>
              <w:rPr>
                <w:rFonts w:ascii="Times New Roman" w:hAnsi="Times New Roman"/>
                <w:b w:val="false"/>
                <w:i w:val="false"/>
                <w:color w:val="000000"/>
                <w:sz w:val="14"/>
              </w:rPr>
              <w:t>Attorney 2</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Phone: 515.729.7449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katrina.holck@iowa.gov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Commission proposes to amend Chapter 13 pursuant to 2026 Iowa Acts, House File 2783, relating to the administration of the Iowa Vocational-Technical Tuition Grant Program. The amendments expand program access to eligible programs at Iowa barbering and cosmetology schools. The rulemaking ensures that program administration aligns with current law and provides clear guidance regarding eligibility, application, and award processes.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Commission does not anticipate that the proposed amendments will impose additional costs on students, Iowa community colleges, school districts, or other participating entities. The amendments primarily implement statutory changes enacted in 2026 Iowa Acts, House File 2783, and relate to the administration of the Iowa Vocational-Technical Tuition Grant Program. Barbering and cosmetology schools that choose to participate in the program will incur costs related to program administration, including reporting requirements.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proposed amendments will benefit students who are eligible for and receive assistance under the Iowa Vocational-Technical Tuition Grant Program by aligning administrative rules with the requirements of 2026 Iowa Acts, House File 2783, and ensuring consistent administration of the program. Improved clarity regarding eligibility criteria and award procedures is expected to enhance access to program benefits for students pursuing approved vocational and technical education programs. Students attending participating barbering and cosmetology schools will now benefit from eligibility within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amendments do not create a new appropriation or modify the total amount of funding available under the Iowa Vocational-Technical Tuition Grant Program. The fiscal impact is limited to the administration and distribution of existing appropriated funds in accordance with 2026 Iowa Acts, House File 2783.</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amendments are expected to improve clarity and consistency in the administration of the Iowa Vocational-Technical Tuition Grant Program by aligning administrative rules with 2026 Iowa Acts, House File 2783. The changes are intended to expand access to vocational and technical education programs and eligible programs at barbering and cosmetology schools.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Commission does not anticipate significant implementation or enforcement costs associated with the proposed amendments. The changes primarily reflect statutory updates enacted in 2026 Iowa Acts, House File 2783, and will be implemented using existing staff and resources.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amendments are not anticipated to have an effect on State revenues. The amendments implement statutory changes to the Iowa Vocational-Technical Tuition Grant program and do not create, modify, or eliminate any taxes, fees, or other revenue sources.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The proposed amendments are necessary to implement 2026 Iowa Acts, House File 2783, and ensure that administrative rules accurately reflect current statutory requirements for the Iowa Vocational-Technical Tuition Grant Program. </w:t>
      </w:r>
    </w:p>
    <w:p>
      <w:pPr>
        <w:spacing w:before="0" w:after="0" w:line="480"/>
        <w:ind w:left="120"/>
        <w:jc w:val="both"/>
      </w:pPr>
      <w:r>
        <w:rPr>
          <w:rFonts w:ascii="Times New Roman" w:hAnsi="Times New Roman"/>
          <w:b w:val="false"/>
          <w:i w:val="false"/>
          <w:color w:val="000000"/>
          <w:sz w:val="24"/>
        </w:rPr>
        <w:t xml:space="preserve">The benefits of the proposed rulemaking include improved administrative clarity, consistent application of eligibility requirements, and enhanced transparency for students and participating institutions. The benefits also include increased access to funds for students at participating barbering and cosmetology schools. The costs associated with the rulemaking are minimal and limited to administrative updates. </w:t>
      </w:r>
    </w:p>
    <w:p>
      <w:pPr>
        <w:spacing w:before="0" w:after="0" w:line="480"/>
        <w:ind w:left="120"/>
        <w:jc w:val="both"/>
      </w:pPr>
      <w:r>
        <w:rPr>
          <w:rFonts w:ascii="Times New Roman" w:hAnsi="Times New Roman"/>
          <w:b w:val="false"/>
          <w:i w:val="false"/>
          <w:color w:val="000000"/>
          <w:sz w:val="24"/>
        </w:rPr>
        <w:t>Inaction would result in administrative rules that do not reflect current statutory requirements, potentially creating confusion for applicants and institutions and limiting the Commission’s ability to consistently administer the program. The Commission therefore concludes that the benefits of the proposed rulemaking outweigh the minimal costs.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Commission has determined that no less costly or less intrusive method exists to achieve the purpose of the proposed rulemaking. The amendments are necessary to implement statutory changes enacted in 2026 Iowa Acts, House File 2783.</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Commission since the method proposed is the most cost-efficient and seamless for all entities involved.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because they would lead to additional burden on applicants, eligible institutions, and the Commission.</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283—13.1(256)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283—13.1</w:t>
      </w:r>
      <w:r>
        <w:rPr>
          <w:rFonts w:ascii="Times New Roman" w:hAnsi="Times New Roman"/>
          <w:b/>
          <w:i w:val="false"/>
          <w:color w:val="000000"/>
          <w:sz w:val="24"/>
        </w:rPr>
        <w:t xml:space="preserve">(256) </w:t>
      </w:r>
      <w:r>
        <w:rPr>
          <w:rFonts w:ascii="Times New Roman" w:hAnsi="Times New Roman"/>
          <w:b/>
          <w:i w:val="false"/>
          <w:color w:val="000000"/>
          <w:sz w:val="24"/>
        </w:rPr>
        <w:t xml:space="preserve">Basis of aid. </w:t>
      </w:r>
      <w:r>
        <w:rPr>
          <w:rFonts w:ascii="Times New Roman" w:hAnsi="Times New Roman"/>
          <w:b w:val="false"/>
          <w:i w:val="false"/>
          <w:color w:val="000000"/>
          <w:sz w:val="24"/>
        </w:rPr>
        <w:t>Assistance available under the Iowa vocational-technical tuition grant program is tuition-restricted and is also based on the financial metric and financial need of Iowa residents enrolled in eligible programs of study at Iowa community colleges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eligible programs of study at licensed Iowa barbering and cosmetology colleges</w:t>
      </w:r>
      <w:r>
        <w:rPr>
          <w:rFonts w:ascii="Times New Roman" w:hAnsi="Times New Roman"/>
          <w:b w:val="false"/>
          <w:i w:val="false"/>
          <w:color w:val="000000"/>
          <w:sz w:val="24"/>
        </w:rPr>
        <w:t xml:space="preserve">. </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283—13.3(256)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283—13.3</w:t>
      </w:r>
      <w:r>
        <w:rPr>
          <w:rFonts w:ascii="Times New Roman" w:hAnsi="Times New Roman"/>
          <w:b/>
          <w:i w:val="false"/>
          <w:color w:val="000000"/>
          <w:sz w:val="24"/>
        </w:rPr>
        <w:t xml:space="preserve">(256) </w:t>
      </w:r>
      <w:r>
        <w:rPr>
          <w:rFonts w:ascii="Times New Roman" w:hAnsi="Times New Roman"/>
          <w:b/>
          <w:i w:val="false"/>
          <w:color w:val="000000"/>
          <w:sz w:val="24"/>
        </w:rPr>
        <w:t xml:space="preserve">Eligible applicant. </w:t>
      </w:r>
      <w:r>
        <w:rPr>
          <w:rFonts w:ascii="Times New Roman" w:hAnsi="Times New Roman"/>
          <w:b w:val="false"/>
          <w:i w:val="false"/>
          <w:color w:val="000000"/>
          <w:sz w:val="24"/>
        </w:rPr>
        <w:t>An eligible applicant is an Iowa resident who is enrolled at least part-time in a program of study that is classified as a career and technical education program by the Iowa department of education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a barbering cosmetology arts and sciences program</w:t>
      </w:r>
      <w:r>
        <w:rPr>
          <w:rFonts w:ascii="Times New Roman" w:hAnsi="Times New Roman"/>
          <w:b w:val="false"/>
          <w:i w:val="false"/>
          <w:color w:val="000000"/>
          <w:sz w:val="24"/>
        </w:rPr>
        <w:t>; meets the award eligibility criteria; and meets the following provisions: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 and 2.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283—13.4(256)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283—13.4</w:t>
      </w:r>
      <w:r>
        <w:rPr>
          <w:rFonts w:ascii="Times New Roman" w:hAnsi="Times New Roman"/>
          <w:b/>
          <w:i w:val="false"/>
          <w:color w:val="000000"/>
          <w:sz w:val="24"/>
        </w:rPr>
        <w:t xml:space="preserve">(256) </w:t>
      </w:r>
      <w:r>
        <w:rPr>
          <w:rFonts w:ascii="Times New Roman" w:hAnsi="Times New Roman"/>
          <w:b/>
          <w:i w:val="false"/>
          <w:color w:val="000000"/>
          <w:sz w:val="24"/>
        </w:rPr>
        <w:t xml:space="preserve">Awarding of 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13.4(2)</w:t>
      </w:r>
      <w:r>
        <w:rPr>
          <w:rFonts w:ascii="Times New Roman" w:hAnsi="Times New Roman"/>
          <w:b w:val="false"/>
          <w:i w:val="false"/>
          <w:color w:val="000000"/>
          <w:sz w:val="24"/>
        </w:rPr>
        <w:t> </w:t>
      </w:r>
      <w:r>
        <w:rPr>
          <w:rFonts w:ascii="Times New Roman" w:hAnsi="Times New Roman"/>
          <w:b w:val="false"/>
          <w:i/>
          <w:color w:val="000000"/>
          <w:sz w:val="24"/>
        </w:rPr>
        <w:t xml:space="preserve">Extent of award and maximum award. </w:t>
      </w:r>
      <w:r>
        <w:rPr>
          <w:rFonts w:ascii="Times New Roman" w:hAnsi="Times New Roman"/>
          <w:b w:val="false"/>
          <w:i w:val="false"/>
          <w:color w:val="000000"/>
          <w:sz w:val="24"/>
        </w:rPr>
        <w:t xml:space="preserve">Eligible applicants may receive no more than the equivalent of four full-time awards. If the program of study cannot be completed by the eligible applicant within the extent of the award, the eligible applicant may qualify for the equivalent of one additional full-time award. These limits reset after two years of no postsecondary enrollment, pursuant to Iowa Code section </w:t>
      </w:r>
      <w:hyperlink r:id="rId5">
        <w:r>
          <w:rPr>
            <w:rStyle w:val="Hyperlink"/>
            <w:rFonts w:ascii="Times New Roman" w:hAnsi="Times New Roman"/>
            <w:b w:val="false"/>
            <w:i w:val="false"/>
            <w:color w:val="000000"/>
            <w:sz w:val="24"/>
          </w:rPr>
          <w:t>256.192(3)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maximum award for full-time students will not exceed the student’s financial need and may be the lesser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difference between the cost of tuition, mandatory fees, books and supplies, as determined by the commission, and the amount of the federal Pell Grant for which the student qualifies,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$1,200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students enrolled in community colleges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$6,000 for students enrolled in barbering and cosmetology colleges and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(4)</w:t>
      </w:r>
      <w:r>
        <w:rPr>
          <w:rFonts w:ascii="Times New Roman" w:hAnsi="Times New Roman"/>
          <w:b w:val="false"/>
          <w:i w:val="false"/>
          <w:color w:val="000000"/>
          <w:sz w:val="24"/>
        </w:rPr>
        <w:t>An award amount established by the commission that allows all eligible applicants to receive an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13.4(3)</w:t>
      </w:r>
      <w:r>
        <w:rPr>
          <w:rFonts w:ascii="Times New Roman" w:hAnsi="Times New Roman"/>
          <w:b w:val="false"/>
          <w:i w:val="false"/>
          <w:color w:val="000000"/>
          <w:sz w:val="24"/>
        </w:rPr>
        <w:t> </w:t>
      </w:r>
      <w:r>
        <w:rPr>
          <w:rFonts w:ascii="Times New Roman" w:hAnsi="Times New Roman"/>
          <w:b w:val="false"/>
          <w:i/>
          <w:color w:val="000000"/>
          <w:sz w:val="24"/>
        </w:rPr>
        <w:t xml:space="preserve">Awarding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 will provide notice of the eligibility criteria and maximum award to participating </w:t>
      </w:r>
      <w:r>
        <w:rPr>
          <w:rFonts w:ascii="Times New Roman" w:hAnsi="Times New Roman"/>
          <w:b w:val="false"/>
          <w:i w:val="false"/>
          <w:strike/>
          <w:color w:val="000000"/>
          <w:sz w:val="24"/>
        </w:rPr>
        <w:t>Iowa community</w:t>
      </w:r>
      <w:r>
        <w:rPr>
          <w:rFonts w:ascii="Times New Roman" w:hAnsi="Times New Roman"/>
          <w:b w:val="false"/>
          <w:i w:val="false"/>
          <w:color w:val="000000"/>
          <w:sz w:val="24"/>
        </w:rPr>
        <w:t xml:space="preserve"> colleges annually to authorize awarding.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 will designate eligible applicants for awards and provide </w:t>
      </w:r>
      <w:r>
        <w:rPr>
          <w:rFonts w:ascii="Times New Roman" w:hAnsi="Times New Roman"/>
          <w:b w:val="false"/>
          <w:i w:val="false"/>
          <w:strike/>
          <w:color w:val="000000"/>
          <w:sz w:val="24"/>
        </w:rPr>
        <w:t>Iowa community colleges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participating institutions</w:t>
      </w:r>
      <w:r>
        <w:rPr>
          <w:rFonts w:ascii="Times New Roman" w:hAnsi="Times New Roman"/>
          <w:b w:val="false"/>
          <w:i w:val="false"/>
          <w:color w:val="000000"/>
          <w:sz w:val="24"/>
        </w:rPr>
        <w:t xml:space="preserve"> with rosters of designated eligible applicants.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strike/>
          <w:color w:val="000000"/>
          <w:sz w:val="24"/>
        </w:rPr>
        <w:t>Iowa community colleges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Participating institutions</w:t>
      </w:r>
      <w:r>
        <w:rPr>
          <w:rFonts w:ascii="Times New Roman" w:hAnsi="Times New Roman"/>
          <w:b w:val="false"/>
          <w:i w:val="false"/>
          <w:color w:val="000000"/>
          <w:sz w:val="24"/>
        </w:rPr>
        <w:t xml:space="preserve"> will notify recipients of the awards, clearly indicating the award amount and the state program from which funding is being provided and stating that the award is contingent on the availability of state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strike/>
          <w:color w:val="000000"/>
          <w:sz w:val="24"/>
        </w:rPr>
        <w:t>Iowa community colleges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Participating institutions</w:t>
      </w:r>
      <w:r>
        <w:rPr>
          <w:rFonts w:ascii="Times New Roman" w:hAnsi="Times New Roman"/>
          <w:b w:val="false"/>
          <w:i w:val="false"/>
          <w:color w:val="000000"/>
          <w:sz w:val="24"/>
        </w:rPr>
        <w:t xml:space="preserve"> will apply awards directly to student accounts to cover tuition and mandatory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strike/>
          <w:color w:val="000000"/>
          <w:sz w:val="24"/>
        </w:rPr>
        <w:t>Iowa community colleges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Participating institutions</w:t>
      </w:r>
      <w:r>
        <w:rPr>
          <w:rFonts w:ascii="Times New Roman" w:hAnsi="Times New Roman"/>
          <w:b w:val="false"/>
          <w:i w:val="false"/>
          <w:color w:val="000000"/>
          <w:sz w:val="24"/>
        </w:rPr>
        <w:t xml:space="preserve"> will provide information about eligible applicants to the commission in a format specified by the commission. </w:t>
      </w:r>
      <w:r>
        <w:rPr>
          <w:rFonts w:ascii="Times New Roman" w:hAnsi="Times New Roman"/>
          <w:b w:val="false"/>
          <w:i w:val="false"/>
          <w:strike/>
          <w:color w:val="000000"/>
          <w:sz w:val="24"/>
        </w:rPr>
        <w:t>Iowa community colleges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Participating institutions</w:t>
      </w:r>
      <w:r>
        <w:rPr>
          <w:rFonts w:ascii="Times New Roman" w:hAnsi="Times New Roman"/>
          <w:b w:val="false"/>
          <w:i w:val="false"/>
          <w:color w:val="000000"/>
          <w:sz w:val="24"/>
        </w:rPr>
        <w:t xml:space="preserve"> will make necessary changes to awards due to a change in enrollment, program of study, and financial situation, and promptly report those changes to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strike/>
          <w:color w:val="000000"/>
          <w:sz w:val="24"/>
        </w:rPr>
        <w:t>Iowa community colleges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Participating institutions</w:t>
      </w:r>
      <w:r>
        <w:rPr>
          <w:rFonts w:ascii="Times New Roman" w:hAnsi="Times New Roman"/>
          <w:b w:val="false"/>
          <w:i w:val="false"/>
          <w:color w:val="000000"/>
          <w:sz w:val="24"/>
        </w:rPr>
        <w:t xml:space="preserve"> are responsible for completing necessary verification and for coordinating other aid to ensure compliance with student eligibility requirements and allowable award amounts. </w:t>
      </w:r>
      <w:r>
        <w:rPr>
          <w:rFonts w:ascii="Times New Roman" w:hAnsi="Times New Roman"/>
          <w:b w:val="false"/>
          <w:i w:val="false"/>
          <w:strike/>
          <w:color w:val="000000"/>
          <w:sz w:val="24"/>
        </w:rPr>
        <w:t>Iowa community colleges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Participating institutions</w:t>
      </w:r>
      <w:r>
        <w:rPr>
          <w:rFonts w:ascii="Times New Roman" w:hAnsi="Times New Roman"/>
          <w:b w:val="false"/>
          <w:i w:val="false"/>
          <w:color w:val="000000"/>
          <w:sz w:val="24"/>
        </w:rPr>
        <w:t xml:space="preserve"> will report changes in student eligibility to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 will periodically investigate and review compliance of </w:t>
      </w:r>
      <w:r>
        <w:rPr>
          <w:rFonts w:ascii="Times New Roman" w:hAnsi="Times New Roman"/>
          <w:b w:val="false"/>
          <w:i w:val="false"/>
          <w:strike/>
          <w:color w:val="000000"/>
          <w:sz w:val="24"/>
        </w:rPr>
        <w:t>Iowa community colleges</w:t>
      </w:r>
      <w:r>
        <w:rPr>
          <w:rFonts w:ascii="Times New Roman" w:hAnsi="Times New Roman"/>
          <w:b w:val="false"/>
          <w:i w:val="false"/>
          <w:color w:val="000000"/>
          <w:sz w:val="24"/>
        </w:rPr>
        <w:t xml:space="preserve"> participating </w:t>
      </w:r>
      <w:r>
        <w:rPr>
          <w:rFonts w:ascii="Times New Roman" w:hAnsi="Times New Roman"/>
          <w:b w:val="false"/>
          <w:i w:val="false"/>
          <w:strike/>
          <w:color w:val="000000"/>
          <w:sz w:val="24"/>
        </w:rPr>
        <w:t>in this program</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institutions</w:t>
      </w:r>
      <w:r>
        <w:rPr>
          <w:rFonts w:ascii="Times New Roman" w:hAnsi="Times New Roman"/>
          <w:b w:val="false"/>
          <w:i w:val="false"/>
          <w:color w:val="000000"/>
          <w:sz w:val="24"/>
        </w:rPr>
        <w:t xml:space="preserve"> with the criteria established in Iowa Code section </w:t>
      </w:r>
      <w:hyperlink r:id="rId6">
        <w:r>
          <w:rPr>
            <w:rStyle w:val="Hyperlink"/>
            <w:rFonts w:ascii="Times New Roman" w:hAnsi="Times New Roman"/>
            <w:b w:val="false"/>
            <w:i w:val="false"/>
            <w:color w:val="000000"/>
            <w:sz w:val="24"/>
          </w:rPr>
          <w:t>256.192</w:t>
        </w:r>
      </w:hyperlink>
      <w:r>
        <w:rPr>
          <w:rFonts w:ascii="Times New Roman" w:hAnsi="Times New Roman"/>
          <w:b w:val="false"/>
          <w:i w:val="false"/>
          <w:color w:val="000000"/>
          <w:sz w:val="24"/>
        </w:rPr>
        <w:t xml:space="preserve"> and this rule.</w:t>
      </w:r>
    </w:p>
    <w:p>
      <w:pPr>
        <w:spacing w:before="0" w:after="0" w:line="240"/>
        <w:ind w:left="120"/>
        <w:jc w:val="both"/>
      </w:pP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atrina.holck@iowa.gov" Type="http://schemas.openxmlformats.org/officeDocument/2006/relationships/hyperlink" Id="rId4"/>
    <Relationship TargetMode="External" Target="https://www.legis.iowa.gov/docs/ico/chapter/256.192.pdf" Type="http://schemas.openxmlformats.org/officeDocument/2006/relationships/hyperlink" Id="rId5"/>
    <Relationship TargetMode="External" Target="https://www.legis.iowa.gov/docs/ico/chapter/256.19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